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3" w:rsidRDefault="006431B3" w:rsidP="006431B3">
      <w:pPr>
        <w:ind w:left="-709"/>
        <w:rPr>
          <w:rFonts w:cs="Arial"/>
          <w:b/>
          <w:sz w:val="24"/>
        </w:rPr>
      </w:pPr>
      <w:r w:rsidRPr="00F2074E">
        <w:rPr>
          <w:rFonts w:cs="Arial"/>
          <w:b/>
          <w:sz w:val="24"/>
        </w:rPr>
        <w:t xml:space="preserve">Lesvoorbereiding </w:t>
      </w:r>
      <w:r>
        <w:rPr>
          <w:rFonts w:cs="Arial"/>
          <w:b/>
          <w:sz w:val="24"/>
        </w:rPr>
        <w:t>injecteren</w:t>
      </w:r>
      <w:r w:rsidRPr="00F2074E">
        <w:rPr>
          <w:rFonts w:cs="Arial"/>
          <w:b/>
          <w:sz w:val="24"/>
        </w:rPr>
        <w:t>.</w:t>
      </w:r>
    </w:p>
    <w:p w:rsidR="006431B3" w:rsidRDefault="006431B3" w:rsidP="006431B3">
      <w:pPr>
        <w:ind w:left="-709"/>
        <w:rPr>
          <w:rFonts w:cs="Arial"/>
          <w:b/>
          <w:sz w:val="24"/>
        </w:rPr>
      </w:pPr>
    </w:p>
    <w:p w:rsidR="006431B3" w:rsidRDefault="006431B3" w:rsidP="006431B3">
      <w:pPr>
        <w:tabs>
          <w:tab w:val="right" w:pos="8300"/>
        </w:tabs>
        <w:rPr>
          <w:szCs w:val="20"/>
        </w:rPr>
      </w:pPr>
    </w:p>
    <w:tbl>
      <w:tblPr>
        <w:tblStyle w:val="Tabelraster"/>
        <w:tblW w:w="9606" w:type="dxa"/>
        <w:tblInd w:w="-567" w:type="dxa"/>
        <w:tblLook w:val="04A0" w:firstRow="1" w:lastRow="0" w:firstColumn="1" w:lastColumn="0" w:noHBand="0" w:noVBand="1"/>
      </w:tblPr>
      <w:tblGrid>
        <w:gridCol w:w="9606"/>
      </w:tblGrid>
      <w:tr w:rsidR="006431B3" w:rsidRPr="00846AA3" w:rsidTr="0090532E">
        <w:tc>
          <w:tcPr>
            <w:tcW w:w="9606" w:type="dxa"/>
            <w:shd w:val="clear" w:color="auto" w:fill="000000" w:themeFill="text1"/>
          </w:tcPr>
          <w:p w:rsidR="006431B3" w:rsidRPr="00846AA3" w:rsidRDefault="006431B3" w:rsidP="0090532E">
            <w:pPr>
              <w:tabs>
                <w:tab w:val="right" w:pos="8300"/>
              </w:tabs>
              <w:rPr>
                <w:rFonts w:cs="Arial"/>
                <w:b/>
                <w:szCs w:val="20"/>
              </w:rPr>
            </w:pPr>
            <w:r w:rsidRPr="00846AA3">
              <w:rPr>
                <w:rFonts w:cs="Arial"/>
                <w:b/>
                <w:szCs w:val="20"/>
              </w:rPr>
              <w:t xml:space="preserve">Voorbereiding </w:t>
            </w:r>
          </w:p>
          <w:p w:rsidR="006431B3" w:rsidRPr="00846AA3" w:rsidRDefault="006431B3" w:rsidP="0090532E">
            <w:pPr>
              <w:tabs>
                <w:tab w:val="right" w:pos="8300"/>
              </w:tabs>
              <w:rPr>
                <w:rFonts w:cs="Arial"/>
                <w:b/>
                <w:szCs w:val="20"/>
              </w:rPr>
            </w:pPr>
          </w:p>
        </w:tc>
      </w:tr>
      <w:tr w:rsidR="006431B3" w:rsidRPr="00846AA3" w:rsidTr="0090532E">
        <w:tc>
          <w:tcPr>
            <w:tcW w:w="9606" w:type="dxa"/>
          </w:tcPr>
          <w:p w:rsidR="006431B3" w:rsidRPr="00846AA3" w:rsidRDefault="006431B3" w:rsidP="006431B3">
            <w:pPr>
              <w:numPr>
                <w:ilvl w:val="0"/>
                <w:numId w:val="1"/>
              </w:numPr>
              <w:tabs>
                <w:tab w:val="right" w:pos="8300"/>
              </w:tabs>
              <w:rPr>
                <w:rFonts w:cs="Arial"/>
                <w:szCs w:val="20"/>
              </w:rPr>
            </w:pPr>
            <w:r w:rsidRPr="00846AA3">
              <w:rPr>
                <w:rFonts w:cs="Arial"/>
                <w:szCs w:val="20"/>
              </w:rPr>
              <w:t xml:space="preserve">Zoek de </w:t>
            </w:r>
            <w:proofErr w:type="spellStart"/>
            <w:r w:rsidRPr="00846AA3">
              <w:rPr>
                <w:rFonts w:cs="Arial"/>
                <w:szCs w:val="20"/>
              </w:rPr>
              <w:t>vilansprotocollen</w:t>
            </w:r>
            <w:proofErr w:type="spellEnd"/>
            <w:r w:rsidRPr="00846AA3">
              <w:rPr>
                <w:rFonts w:cs="Arial"/>
                <w:szCs w:val="20"/>
              </w:rPr>
              <w:t xml:space="preserve"> op via intranet</w:t>
            </w:r>
          </w:p>
        </w:tc>
      </w:tr>
      <w:tr w:rsidR="006431B3" w:rsidRPr="00846AA3" w:rsidTr="0090532E">
        <w:tc>
          <w:tcPr>
            <w:tcW w:w="9606" w:type="dxa"/>
          </w:tcPr>
          <w:p w:rsidR="006431B3" w:rsidRPr="00846AA3" w:rsidRDefault="006431B3" w:rsidP="006431B3">
            <w:pPr>
              <w:numPr>
                <w:ilvl w:val="0"/>
                <w:numId w:val="1"/>
              </w:numPr>
              <w:tabs>
                <w:tab w:val="right" w:pos="8300"/>
              </w:tabs>
              <w:rPr>
                <w:rFonts w:cs="Arial"/>
                <w:szCs w:val="20"/>
              </w:rPr>
            </w:pPr>
            <w:r w:rsidRPr="00846AA3">
              <w:rPr>
                <w:rFonts w:cs="Arial"/>
                <w:szCs w:val="20"/>
              </w:rPr>
              <w:t>Lees de protocollen die aangegeven zijn op de instructie lesvoorbereiding</w:t>
            </w:r>
          </w:p>
        </w:tc>
      </w:tr>
      <w:tr w:rsidR="006431B3" w:rsidRPr="00846AA3" w:rsidTr="0090532E">
        <w:tc>
          <w:tcPr>
            <w:tcW w:w="9606" w:type="dxa"/>
          </w:tcPr>
          <w:p w:rsidR="006431B3" w:rsidRPr="00846AA3" w:rsidRDefault="006431B3" w:rsidP="006431B3">
            <w:pPr>
              <w:numPr>
                <w:ilvl w:val="0"/>
                <w:numId w:val="1"/>
              </w:numPr>
              <w:tabs>
                <w:tab w:val="right" w:pos="8300"/>
              </w:tabs>
              <w:rPr>
                <w:rFonts w:cs="Arial"/>
                <w:szCs w:val="20"/>
              </w:rPr>
            </w:pPr>
            <w:r w:rsidRPr="00846AA3">
              <w:rPr>
                <w:rFonts w:cs="Arial"/>
                <w:szCs w:val="20"/>
              </w:rPr>
              <w:t>Voer de lesopdracht uit en neem de vragen mee naar de scholing en/of toetsing</w:t>
            </w:r>
          </w:p>
        </w:tc>
      </w:tr>
      <w:tr w:rsidR="006431B3" w:rsidRPr="00846AA3" w:rsidTr="0090532E">
        <w:tc>
          <w:tcPr>
            <w:tcW w:w="9606" w:type="dxa"/>
          </w:tcPr>
          <w:p w:rsidR="006431B3" w:rsidRPr="00846AA3" w:rsidRDefault="006431B3" w:rsidP="006431B3">
            <w:pPr>
              <w:numPr>
                <w:ilvl w:val="0"/>
                <w:numId w:val="1"/>
              </w:numPr>
              <w:tabs>
                <w:tab w:val="right" w:pos="8300"/>
              </w:tabs>
              <w:rPr>
                <w:rFonts w:cs="Arial"/>
                <w:szCs w:val="20"/>
              </w:rPr>
            </w:pPr>
            <w:r w:rsidRPr="00846AA3">
              <w:rPr>
                <w:rFonts w:cs="Arial"/>
                <w:szCs w:val="20"/>
              </w:rPr>
              <w:t>De scholing en/of toetsing vindt plaats</w:t>
            </w:r>
          </w:p>
        </w:tc>
      </w:tr>
      <w:tr w:rsidR="006431B3" w:rsidRPr="00846AA3" w:rsidTr="0090532E">
        <w:tc>
          <w:tcPr>
            <w:tcW w:w="9606" w:type="dxa"/>
          </w:tcPr>
          <w:p w:rsidR="006431B3" w:rsidRPr="00846AA3" w:rsidRDefault="006431B3" w:rsidP="006431B3">
            <w:pPr>
              <w:numPr>
                <w:ilvl w:val="0"/>
                <w:numId w:val="1"/>
              </w:numPr>
              <w:tabs>
                <w:tab w:val="right" w:pos="8300"/>
              </w:tabs>
              <w:rPr>
                <w:rFonts w:cs="Arial"/>
                <w:szCs w:val="20"/>
              </w:rPr>
            </w:pPr>
            <w:r w:rsidRPr="00846AA3">
              <w:rPr>
                <w:rFonts w:cs="Arial"/>
                <w:szCs w:val="20"/>
              </w:rPr>
              <w:t>Na voldoende ontvangt de medewerker een certificaat dat bewaard wordt in het personele dossier</w:t>
            </w:r>
          </w:p>
        </w:tc>
      </w:tr>
      <w:tr w:rsidR="006431B3" w:rsidRPr="00846AA3" w:rsidTr="0090532E">
        <w:tc>
          <w:tcPr>
            <w:tcW w:w="9606" w:type="dxa"/>
          </w:tcPr>
          <w:p w:rsidR="006431B3" w:rsidRPr="00846AA3" w:rsidRDefault="006431B3" w:rsidP="006431B3">
            <w:pPr>
              <w:numPr>
                <w:ilvl w:val="0"/>
                <w:numId w:val="1"/>
              </w:numPr>
              <w:tabs>
                <w:tab w:val="right" w:pos="8300"/>
              </w:tabs>
              <w:rPr>
                <w:rFonts w:cs="Arial"/>
                <w:szCs w:val="20"/>
              </w:rPr>
            </w:pPr>
            <w:r w:rsidRPr="00846AA3">
              <w:rPr>
                <w:rFonts w:cs="Arial"/>
                <w:szCs w:val="20"/>
              </w:rPr>
              <w:t>Bij een onvoldoende krijgt de medewerker een herkansing</w:t>
            </w:r>
          </w:p>
        </w:tc>
      </w:tr>
      <w:tr w:rsidR="006431B3" w:rsidRPr="00846AA3" w:rsidTr="0090532E">
        <w:tc>
          <w:tcPr>
            <w:tcW w:w="9606" w:type="dxa"/>
          </w:tcPr>
          <w:p w:rsidR="006431B3" w:rsidRPr="00846AA3" w:rsidRDefault="006431B3" w:rsidP="006431B3">
            <w:pPr>
              <w:numPr>
                <w:ilvl w:val="0"/>
                <w:numId w:val="1"/>
              </w:numPr>
              <w:tabs>
                <w:tab w:val="right" w:pos="8300"/>
              </w:tabs>
              <w:rPr>
                <w:rFonts w:cs="Arial"/>
                <w:szCs w:val="20"/>
              </w:rPr>
            </w:pPr>
            <w:r w:rsidRPr="00846AA3">
              <w:rPr>
                <w:rFonts w:cs="Arial"/>
                <w:szCs w:val="20"/>
              </w:rPr>
              <w:t>De resultaten worden genoteerd in het deskundigheidspaspoort</w:t>
            </w:r>
          </w:p>
        </w:tc>
      </w:tr>
    </w:tbl>
    <w:p w:rsidR="006431B3" w:rsidRDefault="006431B3" w:rsidP="006431B3">
      <w:pPr>
        <w:tabs>
          <w:tab w:val="right" w:pos="8300"/>
        </w:tabs>
        <w:rPr>
          <w:rFonts w:cs="Arial"/>
          <w:szCs w:val="20"/>
        </w:rPr>
      </w:pPr>
    </w:p>
    <w:p w:rsidR="006431B3" w:rsidRDefault="006431B3" w:rsidP="006431B3">
      <w:pPr>
        <w:tabs>
          <w:tab w:val="right" w:pos="8300"/>
        </w:tabs>
        <w:rPr>
          <w:rFonts w:cs="Arial"/>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371"/>
      </w:tblGrid>
      <w:tr w:rsidR="006431B3" w:rsidRPr="002441FC" w:rsidTr="0090532E">
        <w:tc>
          <w:tcPr>
            <w:tcW w:w="2269" w:type="dxa"/>
            <w:shd w:val="clear" w:color="auto" w:fill="000000" w:themeFill="text1"/>
          </w:tcPr>
          <w:p w:rsidR="006431B3" w:rsidRPr="002441FC" w:rsidRDefault="006431B3" w:rsidP="0090532E">
            <w:pPr>
              <w:tabs>
                <w:tab w:val="right" w:pos="8300"/>
              </w:tabs>
              <w:rPr>
                <w:rFonts w:cs="Arial"/>
                <w:szCs w:val="20"/>
              </w:rPr>
            </w:pPr>
          </w:p>
          <w:p w:rsidR="006431B3" w:rsidRPr="0053688B" w:rsidRDefault="006431B3" w:rsidP="0090532E">
            <w:pPr>
              <w:tabs>
                <w:tab w:val="right" w:pos="8300"/>
              </w:tabs>
              <w:jc w:val="center"/>
              <w:rPr>
                <w:rFonts w:cs="Arial"/>
                <w:b/>
                <w:szCs w:val="20"/>
              </w:rPr>
            </w:pPr>
            <w:r w:rsidRPr="0053688B">
              <w:rPr>
                <w:rFonts w:cs="Arial"/>
                <w:b/>
                <w:szCs w:val="20"/>
              </w:rPr>
              <w:t>Onderwerp van scholing</w:t>
            </w:r>
          </w:p>
        </w:tc>
        <w:tc>
          <w:tcPr>
            <w:tcW w:w="7371" w:type="dxa"/>
            <w:shd w:val="clear" w:color="auto" w:fill="000000" w:themeFill="text1"/>
          </w:tcPr>
          <w:p w:rsidR="006431B3" w:rsidRPr="002441FC" w:rsidRDefault="006431B3" w:rsidP="0090532E">
            <w:pPr>
              <w:tabs>
                <w:tab w:val="right" w:pos="8300"/>
              </w:tabs>
              <w:rPr>
                <w:rFonts w:cs="Arial"/>
                <w:szCs w:val="20"/>
              </w:rPr>
            </w:pPr>
          </w:p>
          <w:p w:rsidR="006431B3" w:rsidRPr="0053688B" w:rsidRDefault="006431B3" w:rsidP="0090532E">
            <w:pPr>
              <w:tabs>
                <w:tab w:val="right" w:pos="8300"/>
              </w:tabs>
              <w:rPr>
                <w:rFonts w:cs="Arial"/>
                <w:sz w:val="28"/>
                <w:szCs w:val="28"/>
              </w:rPr>
            </w:pPr>
            <w:r w:rsidRPr="0053688B">
              <w:rPr>
                <w:rFonts w:cs="Arial"/>
                <w:sz w:val="28"/>
                <w:szCs w:val="28"/>
              </w:rPr>
              <w:t>Injecteren</w:t>
            </w:r>
          </w:p>
        </w:tc>
      </w:tr>
      <w:tr w:rsidR="006431B3" w:rsidRPr="002441FC" w:rsidTr="0090532E">
        <w:tc>
          <w:tcPr>
            <w:tcW w:w="2269" w:type="dxa"/>
            <w:shd w:val="clear" w:color="auto" w:fill="D9D9D9" w:themeFill="background1" w:themeFillShade="D9"/>
          </w:tcPr>
          <w:p w:rsidR="006431B3" w:rsidRPr="0053688B" w:rsidRDefault="006431B3" w:rsidP="0090532E">
            <w:pPr>
              <w:tabs>
                <w:tab w:val="right" w:pos="8300"/>
              </w:tabs>
              <w:rPr>
                <w:rFonts w:cs="Arial"/>
                <w:b/>
                <w:szCs w:val="20"/>
              </w:rPr>
            </w:pPr>
          </w:p>
          <w:p w:rsidR="006431B3" w:rsidRPr="0053688B" w:rsidRDefault="006431B3" w:rsidP="0090532E">
            <w:pPr>
              <w:tabs>
                <w:tab w:val="right" w:pos="8300"/>
              </w:tabs>
              <w:jc w:val="center"/>
              <w:rPr>
                <w:rFonts w:cs="Arial"/>
                <w:b/>
                <w:szCs w:val="20"/>
              </w:rPr>
            </w:pPr>
            <w:r w:rsidRPr="0053688B">
              <w:rPr>
                <w:rFonts w:cs="Arial"/>
                <w:b/>
                <w:szCs w:val="20"/>
              </w:rPr>
              <w:t>Doelgroep</w:t>
            </w:r>
          </w:p>
        </w:tc>
        <w:tc>
          <w:tcPr>
            <w:tcW w:w="7371" w:type="dxa"/>
          </w:tcPr>
          <w:p w:rsidR="006431B3" w:rsidRDefault="006431B3" w:rsidP="0090532E">
            <w:pPr>
              <w:pStyle w:val="Lijstalinea"/>
              <w:tabs>
                <w:tab w:val="right" w:pos="8300"/>
              </w:tabs>
              <w:ind w:left="360"/>
              <w:rPr>
                <w:rFonts w:cs="Arial"/>
                <w:szCs w:val="20"/>
              </w:rPr>
            </w:pPr>
          </w:p>
          <w:p w:rsidR="006431B3" w:rsidRPr="0053688B" w:rsidRDefault="006431B3" w:rsidP="0090532E">
            <w:pPr>
              <w:tabs>
                <w:tab w:val="right" w:pos="8300"/>
              </w:tabs>
              <w:rPr>
                <w:rFonts w:cs="Arial"/>
                <w:szCs w:val="20"/>
              </w:rPr>
            </w:pPr>
            <w:r>
              <w:rPr>
                <w:rFonts w:cs="Arial"/>
                <w:szCs w:val="20"/>
              </w:rPr>
              <w:t>Verzorgende IG en verpleegkundigen</w:t>
            </w:r>
          </w:p>
        </w:tc>
      </w:tr>
      <w:tr w:rsidR="006431B3" w:rsidRPr="002441FC" w:rsidTr="0090532E">
        <w:tc>
          <w:tcPr>
            <w:tcW w:w="2269" w:type="dxa"/>
            <w:shd w:val="clear" w:color="auto" w:fill="D9D9D9" w:themeFill="background1" w:themeFillShade="D9"/>
          </w:tcPr>
          <w:p w:rsidR="006431B3" w:rsidRPr="0053688B" w:rsidRDefault="006431B3" w:rsidP="0090532E">
            <w:pPr>
              <w:tabs>
                <w:tab w:val="right" w:pos="8300"/>
              </w:tabs>
              <w:rPr>
                <w:rFonts w:cs="Arial"/>
                <w:b/>
                <w:szCs w:val="20"/>
              </w:rPr>
            </w:pPr>
          </w:p>
          <w:p w:rsidR="006431B3" w:rsidRPr="0053688B" w:rsidRDefault="006431B3" w:rsidP="0090532E">
            <w:pPr>
              <w:tabs>
                <w:tab w:val="right" w:pos="8300"/>
              </w:tabs>
              <w:jc w:val="center"/>
              <w:rPr>
                <w:rFonts w:cs="Arial"/>
                <w:b/>
                <w:szCs w:val="20"/>
              </w:rPr>
            </w:pPr>
            <w:r w:rsidRPr="0053688B">
              <w:rPr>
                <w:rFonts w:cs="Arial"/>
                <w:b/>
                <w:szCs w:val="20"/>
              </w:rPr>
              <w:t>Voorbereiding</w:t>
            </w:r>
          </w:p>
          <w:p w:rsidR="006431B3" w:rsidRPr="0053688B" w:rsidRDefault="006431B3" w:rsidP="0090532E">
            <w:pPr>
              <w:tabs>
                <w:tab w:val="right" w:pos="8300"/>
              </w:tabs>
              <w:rPr>
                <w:rFonts w:cs="Arial"/>
                <w:b/>
                <w:szCs w:val="20"/>
              </w:rPr>
            </w:pPr>
          </w:p>
        </w:tc>
        <w:tc>
          <w:tcPr>
            <w:tcW w:w="7371" w:type="dxa"/>
          </w:tcPr>
          <w:p w:rsidR="006431B3" w:rsidRDefault="006431B3" w:rsidP="0090532E">
            <w:pPr>
              <w:tabs>
                <w:tab w:val="right" w:pos="8300"/>
              </w:tabs>
              <w:rPr>
                <w:rFonts w:cs="Arial"/>
                <w:szCs w:val="20"/>
              </w:rPr>
            </w:pPr>
          </w:p>
          <w:p w:rsidR="006431B3" w:rsidRDefault="006431B3" w:rsidP="0090532E">
            <w:pPr>
              <w:tabs>
                <w:tab w:val="right" w:pos="8300"/>
              </w:tabs>
              <w:rPr>
                <w:rFonts w:cs="Arial"/>
                <w:b/>
                <w:szCs w:val="20"/>
              </w:rPr>
            </w:pPr>
            <w:r w:rsidRPr="0053688B">
              <w:rPr>
                <w:rFonts w:cs="Arial"/>
                <w:b/>
                <w:szCs w:val="20"/>
              </w:rPr>
              <w:t xml:space="preserve">Lees de volgende </w:t>
            </w:r>
            <w:proofErr w:type="spellStart"/>
            <w:r w:rsidRPr="0053688B">
              <w:rPr>
                <w:rFonts w:cs="Arial"/>
                <w:b/>
                <w:szCs w:val="20"/>
              </w:rPr>
              <w:t>vilansprotocollen</w:t>
            </w:r>
            <w:proofErr w:type="spellEnd"/>
            <w:r w:rsidRPr="0053688B">
              <w:rPr>
                <w:rFonts w:cs="Arial"/>
                <w:b/>
                <w:szCs w:val="20"/>
              </w:rPr>
              <w:t xml:space="preserve"> (achtergrondinformatie/ materialen/ richtlijnen/ geprotocolleerde werkinstructies over): </w:t>
            </w:r>
          </w:p>
          <w:p w:rsidR="006431B3" w:rsidRPr="0053688B" w:rsidRDefault="006431B3" w:rsidP="0090532E">
            <w:pPr>
              <w:tabs>
                <w:tab w:val="right" w:pos="8300"/>
              </w:tabs>
              <w:rPr>
                <w:rFonts w:cs="Arial"/>
                <w:b/>
                <w:szCs w:val="20"/>
              </w:rPr>
            </w:pPr>
          </w:p>
          <w:p w:rsidR="006431B3" w:rsidRPr="002441FC" w:rsidRDefault="006431B3" w:rsidP="0090532E">
            <w:pPr>
              <w:tabs>
                <w:tab w:val="right" w:pos="8300"/>
              </w:tabs>
              <w:rPr>
                <w:rFonts w:cs="Arial"/>
                <w:szCs w:val="20"/>
              </w:rPr>
            </w:pPr>
            <w:r w:rsidRPr="002441FC">
              <w:rPr>
                <w:rFonts w:cs="Arial"/>
                <w:szCs w:val="20"/>
              </w:rPr>
              <w:t xml:space="preserve">1. injecteren (subcutaan); </w:t>
            </w:r>
          </w:p>
          <w:p w:rsidR="006431B3" w:rsidRPr="002441FC" w:rsidRDefault="006431B3" w:rsidP="0090532E">
            <w:pPr>
              <w:tabs>
                <w:tab w:val="right" w:pos="8300"/>
              </w:tabs>
              <w:rPr>
                <w:rFonts w:cs="Arial"/>
                <w:szCs w:val="20"/>
              </w:rPr>
            </w:pPr>
            <w:r w:rsidRPr="002441FC">
              <w:rPr>
                <w:rFonts w:cs="Arial"/>
                <w:szCs w:val="20"/>
              </w:rPr>
              <w:t>2. loodrecht techniek(subcutaan);</w:t>
            </w:r>
          </w:p>
          <w:p w:rsidR="006431B3" w:rsidRPr="002441FC" w:rsidRDefault="006431B3" w:rsidP="0090532E">
            <w:pPr>
              <w:tabs>
                <w:tab w:val="right" w:pos="8300"/>
              </w:tabs>
              <w:rPr>
                <w:rFonts w:cs="Arial"/>
                <w:szCs w:val="20"/>
              </w:rPr>
            </w:pPr>
            <w:r w:rsidRPr="002441FC">
              <w:rPr>
                <w:rFonts w:cs="Arial"/>
                <w:szCs w:val="20"/>
              </w:rPr>
              <w:t>3. huidplooitechniek(subcutaan);</w:t>
            </w:r>
          </w:p>
          <w:p w:rsidR="006431B3" w:rsidRPr="002441FC" w:rsidRDefault="006431B3" w:rsidP="0090532E">
            <w:pPr>
              <w:tabs>
                <w:tab w:val="right" w:pos="8300"/>
              </w:tabs>
              <w:rPr>
                <w:rFonts w:cs="Arial"/>
                <w:szCs w:val="20"/>
              </w:rPr>
            </w:pPr>
            <w:r w:rsidRPr="002441FC">
              <w:rPr>
                <w:rFonts w:cs="Arial"/>
                <w:szCs w:val="20"/>
              </w:rPr>
              <w:t>4. rangeertechniek (intramusculair);</w:t>
            </w:r>
          </w:p>
          <w:p w:rsidR="006431B3" w:rsidRDefault="006431B3" w:rsidP="0090532E">
            <w:pPr>
              <w:tabs>
                <w:tab w:val="right" w:pos="8300"/>
              </w:tabs>
              <w:rPr>
                <w:rFonts w:cs="Arial"/>
                <w:szCs w:val="20"/>
              </w:rPr>
            </w:pPr>
            <w:r w:rsidRPr="002441FC">
              <w:rPr>
                <w:rFonts w:cs="Arial"/>
                <w:szCs w:val="20"/>
              </w:rPr>
              <w:t>5. injecteren met insulinepen.</w:t>
            </w:r>
          </w:p>
          <w:p w:rsidR="006431B3" w:rsidRPr="002441FC" w:rsidRDefault="006431B3" w:rsidP="0090532E">
            <w:pPr>
              <w:tabs>
                <w:tab w:val="right" w:pos="8300"/>
              </w:tabs>
              <w:rPr>
                <w:rFonts w:cs="Arial"/>
                <w:szCs w:val="20"/>
              </w:rPr>
            </w:pPr>
          </w:p>
        </w:tc>
      </w:tr>
      <w:tr w:rsidR="006431B3" w:rsidRPr="002441FC" w:rsidTr="0090532E">
        <w:trPr>
          <w:trHeight w:val="63"/>
        </w:trPr>
        <w:tc>
          <w:tcPr>
            <w:tcW w:w="2269" w:type="dxa"/>
            <w:shd w:val="clear" w:color="auto" w:fill="D9D9D9" w:themeFill="background1" w:themeFillShade="D9"/>
          </w:tcPr>
          <w:p w:rsidR="006431B3" w:rsidRPr="0053688B" w:rsidRDefault="006431B3" w:rsidP="0090532E">
            <w:pPr>
              <w:tabs>
                <w:tab w:val="right" w:pos="8300"/>
              </w:tabs>
              <w:rPr>
                <w:rFonts w:cs="Arial"/>
                <w:b/>
                <w:szCs w:val="20"/>
              </w:rPr>
            </w:pPr>
          </w:p>
          <w:p w:rsidR="006431B3" w:rsidRPr="0053688B" w:rsidRDefault="006431B3" w:rsidP="0090532E">
            <w:pPr>
              <w:tabs>
                <w:tab w:val="right" w:pos="8300"/>
              </w:tabs>
              <w:jc w:val="center"/>
              <w:rPr>
                <w:rFonts w:cs="Arial"/>
                <w:b/>
                <w:szCs w:val="20"/>
              </w:rPr>
            </w:pPr>
            <w:r>
              <w:rPr>
                <w:rFonts w:cs="Arial"/>
                <w:b/>
                <w:szCs w:val="20"/>
              </w:rPr>
              <w:t>Leso</w:t>
            </w:r>
            <w:r w:rsidRPr="0053688B">
              <w:rPr>
                <w:rFonts w:cs="Arial"/>
                <w:b/>
                <w:szCs w:val="20"/>
              </w:rPr>
              <w:t>pdracht</w:t>
            </w:r>
          </w:p>
        </w:tc>
        <w:tc>
          <w:tcPr>
            <w:tcW w:w="7371" w:type="dxa"/>
          </w:tcPr>
          <w:p w:rsidR="006431B3" w:rsidRDefault="006431B3" w:rsidP="0090532E">
            <w:pPr>
              <w:tabs>
                <w:tab w:val="right" w:pos="8300"/>
              </w:tabs>
              <w:rPr>
                <w:rFonts w:cs="Arial"/>
                <w:szCs w:val="20"/>
              </w:rPr>
            </w:pPr>
          </w:p>
          <w:p w:rsidR="006431B3" w:rsidRPr="002441FC" w:rsidRDefault="006431B3" w:rsidP="0090532E">
            <w:pPr>
              <w:tabs>
                <w:tab w:val="right" w:pos="8300"/>
              </w:tabs>
              <w:rPr>
                <w:rFonts w:cs="Arial"/>
                <w:szCs w:val="20"/>
              </w:rPr>
            </w:pPr>
            <w:r>
              <w:rPr>
                <w:rFonts w:cs="Arial"/>
                <w:szCs w:val="20"/>
              </w:rPr>
              <w:t xml:space="preserve">Bekijk op </w:t>
            </w:r>
            <w:proofErr w:type="spellStart"/>
            <w:r>
              <w:rPr>
                <w:rFonts w:cs="Arial"/>
                <w:szCs w:val="20"/>
              </w:rPr>
              <w:t>YouTube</w:t>
            </w:r>
            <w:proofErr w:type="spellEnd"/>
            <w:r>
              <w:rPr>
                <w:rFonts w:cs="Arial"/>
                <w:szCs w:val="20"/>
              </w:rPr>
              <w:t xml:space="preserve"> tenminste 2 verschillende opnames over injecteren. Zowel subcutaan als intramusculair moeten hierbij aan de orde komen. Bekijk de opnames a.d.h.v. het bijbehorende Vilans protocol. Wat valt je op? Neem deze bevindingen mee naar de scholing.</w:t>
            </w:r>
          </w:p>
        </w:tc>
      </w:tr>
      <w:tr w:rsidR="006431B3" w:rsidRPr="002441FC" w:rsidTr="0090532E">
        <w:trPr>
          <w:trHeight w:val="2100"/>
        </w:trPr>
        <w:tc>
          <w:tcPr>
            <w:tcW w:w="2269" w:type="dxa"/>
            <w:shd w:val="clear" w:color="auto" w:fill="D9D9D9" w:themeFill="background1" w:themeFillShade="D9"/>
          </w:tcPr>
          <w:p w:rsidR="006431B3" w:rsidRPr="0053688B" w:rsidRDefault="006431B3" w:rsidP="0090532E">
            <w:pPr>
              <w:tabs>
                <w:tab w:val="right" w:pos="8300"/>
              </w:tabs>
              <w:rPr>
                <w:rFonts w:cs="Arial"/>
                <w:b/>
                <w:szCs w:val="20"/>
              </w:rPr>
            </w:pPr>
          </w:p>
          <w:p w:rsidR="006431B3" w:rsidRPr="0053688B" w:rsidRDefault="006431B3" w:rsidP="0090532E">
            <w:pPr>
              <w:tabs>
                <w:tab w:val="right" w:pos="8300"/>
              </w:tabs>
              <w:jc w:val="center"/>
              <w:rPr>
                <w:rFonts w:cs="Arial"/>
                <w:b/>
                <w:szCs w:val="20"/>
              </w:rPr>
            </w:pPr>
            <w:r>
              <w:rPr>
                <w:rFonts w:cs="Arial"/>
                <w:b/>
                <w:szCs w:val="20"/>
              </w:rPr>
              <w:t>Lesdoelstellingen</w:t>
            </w:r>
          </w:p>
          <w:p w:rsidR="006431B3" w:rsidRPr="0053688B" w:rsidRDefault="006431B3" w:rsidP="0090532E">
            <w:pPr>
              <w:tabs>
                <w:tab w:val="right" w:pos="8300"/>
              </w:tabs>
              <w:rPr>
                <w:rFonts w:cs="Arial"/>
                <w:b/>
                <w:szCs w:val="20"/>
              </w:rPr>
            </w:pPr>
          </w:p>
          <w:p w:rsidR="006431B3" w:rsidRPr="0053688B" w:rsidRDefault="006431B3" w:rsidP="0090532E">
            <w:pPr>
              <w:tabs>
                <w:tab w:val="right" w:pos="8300"/>
              </w:tabs>
              <w:rPr>
                <w:rFonts w:cs="Arial"/>
                <w:b/>
                <w:color w:val="FF0000"/>
                <w:szCs w:val="20"/>
              </w:rPr>
            </w:pPr>
          </w:p>
        </w:tc>
        <w:tc>
          <w:tcPr>
            <w:tcW w:w="7371" w:type="dxa"/>
          </w:tcPr>
          <w:p w:rsidR="006431B3" w:rsidRDefault="006431B3" w:rsidP="0090532E">
            <w:pPr>
              <w:rPr>
                <w:rFonts w:cs="Arial"/>
                <w:szCs w:val="20"/>
              </w:rPr>
            </w:pPr>
          </w:p>
          <w:p w:rsidR="006431B3" w:rsidRPr="007E3F0B" w:rsidRDefault="006431B3" w:rsidP="0090532E">
            <w:pPr>
              <w:rPr>
                <w:b/>
                <w:szCs w:val="20"/>
              </w:rPr>
            </w:pPr>
            <w:r w:rsidRPr="007E3F0B">
              <w:rPr>
                <w:b/>
                <w:szCs w:val="20"/>
              </w:rPr>
              <w:t>De lesdoelstellingen</w:t>
            </w:r>
          </w:p>
          <w:p w:rsidR="006431B3" w:rsidRDefault="006431B3" w:rsidP="0090532E">
            <w:pPr>
              <w:pStyle w:val="Default"/>
              <w:spacing w:line="276" w:lineRule="auto"/>
              <w:rPr>
                <w:sz w:val="20"/>
                <w:szCs w:val="20"/>
              </w:rPr>
            </w:pPr>
            <w:r w:rsidRPr="00324409">
              <w:rPr>
                <w:sz w:val="20"/>
                <w:szCs w:val="20"/>
              </w:rPr>
              <w:t xml:space="preserve">Het algemene doel van deze scholing is het verwerven van specifieke </w:t>
            </w:r>
            <w:r>
              <w:rPr>
                <w:sz w:val="20"/>
                <w:szCs w:val="20"/>
              </w:rPr>
              <w:t>kennis en vaardigheden in relatie tot het injecteren.</w:t>
            </w:r>
          </w:p>
          <w:p w:rsidR="006431B3" w:rsidRPr="00324409" w:rsidRDefault="006431B3" w:rsidP="0090532E">
            <w:pPr>
              <w:pStyle w:val="Lijstalinea"/>
              <w:spacing w:line="276" w:lineRule="auto"/>
              <w:ind w:left="0"/>
              <w:rPr>
                <w:rFonts w:cs="Arial"/>
                <w:szCs w:val="20"/>
              </w:rPr>
            </w:pPr>
          </w:p>
          <w:p w:rsidR="006431B3" w:rsidRPr="00383F2A" w:rsidRDefault="006431B3" w:rsidP="0090532E">
            <w:pPr>
              <w:spacing w:line="276" w:lineRule="auto"/>
              <w:rPr>
                <w:rFonts w:cs="Arial"/>
                <w:b/>
                <w:color w:val="548DD4" w:themeColor="text2" w:themeTint="99"/>
                <w:szCs w:val="20"/>
              </w:rPr>
            </w:pPr>
            <w:r w:rsidRPr="00E27AC6">
              <w:rPr>
                <w:rFonts w:cs="Arial"/>
                <w:b/>
                <w:szCs w:val="20"/>
              </w:rPr>
              <w:t xml:space="preserve">De verpleegkundigen </w:t>
            </w:r>
            <w:r>
              <w:rPr>
                <w:rFonts w:cs="Arial"/>
                <w:b/>
                <w:szCs w:val="20"/>
              </w:rPr>
              <w:t xml:space="preserve"> en verzorgenden IG </w:t>
            </w:r>
            <w:r w:rsidRPr="00796D1F">
              <w:rPr>
                <w:rFonts w:cs="Arial"/>
                <w:b/>
                <w:szCs w:val="20"/>
              </w:rPr>
              <w:t xml:space="preserve">zijn in staat om </w:t>
            </w:r>
            <w:r>
              <w:rPr>
                <w:rFonts w:cs="Arial"/>
                <w:b/>
                <w:szCs w:val="20"/>
              </w:rPr>
              <w:t>te benoemen:</w:t>
            </w:r>
          </w:p>
          <w:p w:rsidR="006431B3" w:rsidRDefault="006431B3" w:rsidP="006431B3">
            <w:pPr>
              <w:pStyle w:val="Lijstalinea"/>
              <w:numPr>
                <w:ilvl w:val="0"/>
                <w:numId w:val="2"/>
              </w:numPr>
              <w:spacing w:line="276" w:lineRule="auto"/>
              <w:rPr>
                <w:rFonts w:cs="Arial"/>
                <w:szCs w:val="20"/>
              </w:rPr>
            </w:pPr>
            <w:r w:rsidRPr="00537219">
              <w:rPr>
                <w:rFonts w:cs="Arial"/>
                <w:szCs w:val="20"/>
              </w:rPr>
              <w:t>de vigerende richtlijnen omtrent het toedienen van injecties:</w:t>
            </w:r>
          </w:p>
          <w:p w:rsidR="006431B3" w:rsidRDefault="006431B3" w:rsidP="006431B3">
            <w:pPr>
              <w:pStyle w:val="Lijstalinea"/>
              <w:numPr>
                <w:ilvl w:val="0"/>
                <w:numId w:val="3"/>
              </w:numPr>
              <w:spacing w:line="276" w:lineRule="auto"/>
              <w:rPr>
                <w:rFonts w:cs="Arial"/>
                <w:szCs w:val="20"/>
              </w:rPr>
            </w:pPr>
            <w:r>
              <w:rPr>
                <w:rFonts w:cs="Arial"/>
                <w:szCs w:val="20"/>
              </w:rPr>
              <w:t>de</w:t>
            </w:r>
            <w:r w:rsidRPr="00210DB5">
              <w:rPr>
                <w:rFonts w:cs="Arial"/>
                <w:szCs w:val="20"/>
              </w:rPr>
              <w:t xml:space="preserve"> bevoegdheden </w:t>
            </w:r>
            <w:r>
              <w:rPr>
                <w:rFonts w:cs="Arial"/>
                <w:szCs w:val="20"/>
              </w:rPr>
              <w:t xml:space="preserve">die </w:t>
            </w:r>
            <w:r w:rsidRPr="00210DB5">
              <w:rPr>
                <w:rFonts w:cs="Arial"/>
                <w:szCs w:val="20"/>
              </w:rPr>
              <w:t>de verpleegkundige of verzorgende heeft bij voorbehouden handelingen</w:t>
            </w:r>
            <w:r>
              <w:rPr>
                <w:rFonts w:cs="Arial"/>
                <w:szCs w:val="20"/>
              </w:rPr>
              <w:t xml:space="preserve"> </w:t>
            </w:r>
            <w:r w:rsidRPr="00537219">
              <w:rPr>
                <w:rFonts w:cs="Arial"/>
                <w:szCs w:val="20"/>
              </w:rPr>
              <w:t>wetgeving (Wet B</w:t>
            </w:r>
            <w:r>
              <w:rPr>
                <w:rFonts w:cs="Arial"/>
                <w:szCs w:val="20"/>
              </w:rPr>
              <w:t>IG, bevoegdheid en bekwaamheid);</w:t>
            </w:r>
          </w:p>
          <w:p w:rsidR="006431B3" w:rsidRDefault="006431B3" w:rsidP="006431B3">
            <w:pPr>
              <w:pStyle w:val="Lijstalinea"/>
              <w:numPr>
                <w:ilvl w:val="0"/>
                <w:numId w:val="3"/>
              </w:numPr>
              <w:spacing w:line="276" w:lineRule="auto"/>
              <w:rPr>
                <w:rFonts w:cs="Arial"/>
                <w:szCs w:val="20"/>
              </w:rPr>
            </w:pPr>
            <w:r w:rsidRPr="0048177A">
              <w:rPr>
                <w:rFonts w:cs="Arial"/>
                <w:szCs w:val="20"/>
              </w:rPr>
              <w:t>welke verantwoordelijkheden de verpleegkundige of verzorgende-IG heeft bij het injecteren</w:t>
            </w:r>
            <w:r>
              <w:rPr>
                <w:rFonts w:cs="Arial"/>
                <w:szCs w:val="20"/>
              </w:rPr>
              <w:t xml:space="preserve"> (handelswijze, werkwijze Vilans protocol)</w:t>
            </w:r>
            <w:r w:rsidRPr="0048177A">
              <w:rPr>
                <w:rFonts w:cs="Arial"/>
                <w:szCs w:val="20"/>
              </w:rPr>
              <w:t>;</w:t>
            </w:r>
          </w:p>
          <w:p w:rsidR="006431B3" w:rsidRDefault="006431B3" w:rsidP="006431B3">
            <w:pPr>
              <w:pStyle w:val="Lijstalinea"/>
              <w:numPr>
                <w:ilvl w:val="0"/>
                <w:numId w:val="3"/>
              </w:numPr>
              <w:spacing w:line="276" w:lineRule="auto"/>
              <w:rPr>
                <w:rFonts w:cs="Arial"/>
                <w:szCs w:val="20"/>
              </w:rPr>
            </w:pPr>
            <w:r w:rsidRPr="0048177A">
              <w:rPr>
                <w:rFonts w:cs="Arial"/>
                <w:szCs w:val="20"/>
              </w:rPr>
              <w:t>welke voorschriften gevolgd dienen te worden om veilig te kunnen werken bij het injecteren;</w:t>
            </w:r>
          </w:p>
          <w:p w:rsidR="006431B3" w:rsidRPr="0048177A" w:rsidRDefault="006431B3" w:rsidP="006431B3">
            <w:pPr>
              <w:pStyle w:val="Lijstalinea"/>
              <w:numPr>
                <w:ilvl w:val="0"/>
                <w:numId w:val="3"/>
              </w:numPr>
              <w:spacing w:line="276" w:lineRule="auto"/>
              <w:rPr>
                <w:rFonts w:cs="Arial"/>
                <w:szCs w:val="20"/>
              </w:rPr>
            </w:pPr>
            <w:r w:rsidRPr="0048177A">
              <w:rPr>
                <w:rFonts w:cs="Arial"/>
                <w:szCs w:val="20"/>
              </w:rPr>
              <w:t>welke factoren van belang zijn bij het veilig toedienen van medicatie;</w:t>
            </w:r>
          </w:p>
          <w:p w:rsidR="006431B3" w:rsidRPr="00537219" w:rsidRDefault="006431B3" w:rsidP="006431B3">
            <w:pPr>
              <w:pStyle w:val="Lijstalinea"/>
              <w:numPr>
                <w:ilvl w:val="1"/>
                <w:numId w:val="3"/>
              </w:numPr>
              <w:spacing w:line="276" w:lineRule="auto"/>
              <w:rPr>
                <w:rFonts w:cs="Arial"/>
                <w:szCs w:val="20"/>
              </w:rPr>
            </w:pPr>
            <w:r w:rsidRPr="00537219">
              <w:rPr>
                <w:rFonts w:cs="Arial"/>
                <w:szCs w:val="20"/>
              </w:rPr>
              <w:t>veiligheid in relatie tot Cytostatica en persoonlijke beschermingsmaatregelen</w:t>
            </w:r>
            <w:r>
              <w:rPr>
                <w:rFonts w:cs="Arial"/>
                <w:szCs w:val="20"/>
              </w:rPr>
              <w:t>;</w:t>
            </w:r>
          </w:p>
          <w:p w:rsidR="006431B3" w:rsidRPr="0048177A" w:rsidRDefault="006431B3" w:rsidP="006431B3">
            <w:pPr>
              <w:pStyle w:val="Lijstalinea"/>
              <w:numPr>
                <w:ilvl w:val="1"/>
                <w:numId w:val="3"/>
              </w:numPr>
              <w:spacing w:line="276" w:lineRule="auto"/>
              <w:rPr>
                <w:rFonts w:cs="Arial"/>
                <w:szCs w:val="20"/>
              </w:rPr>
            </w:pPr>
            <w:r w:rsidRPr="00537219">
              <w:rPr>
                <w:rFonts w:cs="Arial"/>
                <w:szCs w:val="20"/>
              </w:rPr>
              <w:t>veiligheid in relatie veiligheidsnaalden en prikaccidenten (procedure THFL)</w:t>
            </w:r>
            <w:r>
              <w:rPr>
                <w:rFonts w:cs="Arial"/>
                <w:szCs w:val="20"/>
              </w:rPr>
              <w:t>;</w:t>
            </w:r>
          </w:p>
          <w:p w:rsidR="006431B3" w:rsidRPr="00210DB5" w:rsidRDefault="006431B3" w:rsidP="006431B3">
            <w:pPr>
              <w:pStyle w:val="Lijstalinea"/>
              <w:numPr>
                <w:ilvl w:val="0"/>
                <w:numId w:val="3"/>
              </w:numPr>
              <w:spacing w:line="276" w:lineRule="auto"/>
              <w:rPr>
                <w:rFonts w:cs="Arial"/>
                <w:szCs w:val="20"/>
              </w:rPr>
            </w:pPr>
            <w:r w:rsidRPr="00210DB5">
              <w:rPr>
                <w:rFonts w:cs="Arial"/>
                <w:szCs w:val="20"/>
              </w:rPr>
              <w:t>welke factoren van belang zijn bij het voorkomen van prikaccidenten en morsen van bloed en infuusvloeistof</w:t>
            </w:r>
            <w:r>
              <w:rPr>
                <w:rFonts w:cs="Arial"/>
                <w:szCs w:val="20"/>
              </w:rPr>
              <w:t>; begrippen zoals; ‘</w:t>
            </w:r>
            <w:proofErr w:type="spellStart"/>
            <w:r>
              <w:rPr>
                <w:rFonts w:cs="Arial"/>
                <w:szCs w:val="20"/>
              </w:rPr>
              <w:t>recappen</w:t>
            </w:r>
            <w:proofErr w:type="spellEnd"/>
            <w:r>
              <w:rPr>
                <w:rFonts w:cs="Arial"/>
                <w:szCs w:val="20"/>
              </w:rPr>
              <w:t xml:space="preserve">’, veilige naalden, omgaan met cytostatica moeten hierbij tenminste benoemd </w:t>
            </w:r>
            <w:r>
              <w:rPr>
                <w:rFonts w:cs="Arial"/>
                <w:szCs w:val="20"/>
              </w:rPr>
              <w:lastRenderedPageBreak/>
              <w:t>worden</w:t>
            </w:r>
            <w:r w:rsidRPr="00210DB5">
              <w:rPr>
                <w:rFonts w:cs="Arial"/>
                <w:szCs w:val="20"/>
              </w:rPr>
              <w:t>;</w:t>
            </w:r>
          </w:p>
          <w:p w:rsidR="006431B3" w:rsidRPr="00210DB5" w:rsidRDefault="006431B3" w:rsidP="006431B3">
            <w:pPr>
              <w:pStyle w:val="Lijstalinea"/>
              <w:numPr>
                <w:ilvl w:val="0"/>
                <w:numId w:val="3"/>
              </w:numPr>
              <w:spacing w:line="276" w:lineRule="auto"/>
              <w:rPr>
                <w:rFonts w:cs="Arial"/>
                <w:b/>
                <w:szCs w:val="20"/>
              </w:rPr>
            </w:pPr>
            <w:r w:rsidRPr="00210DB5">
              <w:rPr>
                <w:rFonts w:cs="Arial"/>
                <w:szCs w:val="20"/>
              </w:rPr>
              <w:t>hoe je moet handelen bij een prikaccident</w:t>
            </w:r>
            <w:r>
              <w:rPr>
                <w:rFonts w:cs="Arial"/>
                <w:szCs w:val="20"/>
              </w:rPr>
              <w:t xml:space="preserve"> </w:t>
            </w:r>
            <w:r w:rsidRPr="00537219">
              <w:rPr>
                <w:rFonts w:cs="Arial"/>
                <w:szCs w:val="20"/>
              </w:rPr>
              <w:t>(procedure THFL)</w:t>
            </w:r>
            <w:r>
              <w:rPr>
                <w:rFonts w:cs="Arial"/>
                <w:szCs w:val="20"/>
              </w:rPr>
              <w:t>;</w:t>
            </w:r>
          </w:p>
          <w:p w:rsidR="006431B3" w:rsidRPr="00210DB5" w:rsidRDefault="006431B3" w:rsidP="006431B3">
            <w:pPr>
              <w:pStyle w:val="Lijstalinea"/>
              <w:numPr>
                <w:ilvl w:val="0"/>
                <w:numId w:val="3"/>
              </w:numPr>
              <w:spacing w:line="276" w:lineRule="auto"/>
              <w:rPr>
                <w:rFonts w:cs="Arial"/>
                <w:b/>
                <w:szCs w:val="20"/>
              </w:rPr>
            </w:pPr>
            <w:r w:rsidRPr="00210DB5">
              <w:rPr>
                <w:rFonts w:cs="Arial"/>
                <w:szCs w:val="20"/>
              </w:rPr>
              <w:t>welke materiale</w:t>
            </w:r>
            <w:r>
              <w:rPr>
                <w:rFonts w:cs="Arial"/>
                <w:szCs w:val="20"/>
              </w:rPr>
              <w:t>n nodig zijn bij het injecteren;</w:t>
            </w:r>
          </w:p>
          <w:p w:rsidR="006431B3" w:rsidRPr="0048177A" w:rsidRDefault="006431B3" w:rsidP="006431B3">
            <w:pPr>
              <w:pStyle w:val="Lijstalinea"/>
              <w:numPr>
                <w:ilvl w:val="0"/>
                <w:numId w:val="3"/>
              </w:numPr>
              <w:spacing w:line="276" w:lineRule="auto"/>
              <w:rPr>
                <w:rFonts w:cs="Arial"/>
                <w:b/>
                <w:szCs w:val="20"/>
              </w:rPr>
            </w:pPr>
            <w:r w:rsidRPr="00210DB5">
              <w:rPr>
                <w:rFonts w:cs="Arial"/>
                <w:szCs w:val="20"/>
              </w:rPr>
              <w:t>welke veilige naalden gebruikt kunnen worden</w:t>
            </w:r>
            <w:r>
              <w:rPr>
                <w:rFonts w:cs="Arial"/>
                <w:szCs w:val="20"/>
              </w:rPr>
              <w:t>;</w:t>
            </w:r>
          </w:p>
          <w:p w:rsidR="006431B3" w:rsidRDefault="006431B3" w:rsidP="0090532E">
            <w:pPr>
              <w:spacing w:line="276" w:lineRule="auto"/>
              <w:rPr>
                <w:rFonts w:cs="Arial"/>
                <w:b/>
                <w:szCs w:val="20"/>
              </w:rPr>
            </w:pPr>
          </w:p>
          <w:p w:rsidR="006431B3" w:rsidRPr="000D3FD7" w:rsidRDefault="006431B3" w:rsidP="0090532E">
            <w:pPr>
              <w:spacing w:line="276" w:lineRule="auto"/>
              <w:rPr>
                <w:rFonts w:cs="Arial"/>
                <w:b/>
                <w:szCs w:val="20"/>
              </w:rPr>
            </w:pPr>
            <w:r w:rsidRPr="000D3FD7">
              <w:rPr>
                <w:rFonts w:cs="Arial"/>
                <w:b/>
                <w:szCs w:val="20"/>
              </w:rPr>
              <w:t xml:space="preserve">De verpleegkundigen </w:t>
            </w:r>
            <w:r w:rsidRPr="00796D1F">
              <w:rPr>
                <w:rFonts w:cs="Arial"/>
                <w:b/>
                <w:szCs w:val="20"/>
              </w:rPr>
              <w:t xml:space="preserve">en verzorgenden IG </w:t>
            </w:r>
            <w:r w:rsidRPr="000D3FD7">
              <w:rPr>
                <w:rFonts w:cs="Arial"/>
                <w:b/>
                <w:szCs w:val="20"/>
              </w:rPr>
              <w:t>zijn in staat om:</w:t>
            </w:r>
          </w:p>
          <w:p w:rsidR="006431B3" w:rsidRDefault="006431B3" w:rsidP="006431B3">
            <w:pPr>
              <w:pStyle w:val="Lijstalinea"/>
              <w:numPr>
                <w:ilvl w:val="0"/>
                <w:numId w:val="3"/>
              </w:numPr>
              <w:spacing w:line="276" w:lineRule="auto"/>
              <w:rPr>
                <w:rFonts w:cs="Arial"/>
                <w:szCs w:val="20"/>
              </w:rPr>
            </w:pPr>
            <w:r>
              <w:rPr>
                <w:rFonts w:cs="Arial"/>
                <w:szCs w:val="20"/>
              </w:rPr>
              <w:t>te beschrijven welke  i</w:t>
            </w:r>
            <w:r w:rsidRPr="00537219">
              <w:rPr>
                <w:rFonts w:cs="Arial"/>
                <w:szCs w:val="20"/>
              </w:rPr>
              <w:t xml:space="preserve">njectietechnieken (intramusculair, subcutaan en subcutaan vleugelnaald) </w:t>
            </w:r>
            <w:r>
              <w:rPr>
                <w:rFonts w:cs="Arial"/>
                <w:szCs w:val="20"/>
              </w:rPr>
              <w:t>er zijn;</w:t>
            </w:r>
          </w:p>
          <w:p w:rsidR="006431B3" w:rsidRPr="0048177A" w:rsidRDefault="006431B3" w:rsidP="006431B3">
            <w:pPr>
              <w:pStyle w:val="Lijstalinea"/>
              <w:numPr>
                <w:ilvl w:val="0"/>
                <w:numId w:val="3"/>
              </w:numPr>
              <w:spacing w:line="276" w:lineRule="auto"/>
              <w:rPr>
                <w:rFonts w:cs="Arial"/>
                <w:b/>
                <w:szCs w:val="20"/>
              </w:rPr>
            </w:pPr>
            <w:r>
              <w:rPr>
                <w:rFonts w:cs="Arial"/>
                <w:szCs w:val="20"/>
              </w:rPr>
              <w:t xml:space="preserve">te benoemen </w:t>
            </w:r>
            <w:r w:rsidRPr="00210DB5">
              <w:rPr>
                <w:rFonts w:cs="Arial"/>
                <w:szCs w:val="20"/>
              </w:rPr>
              <w:t>wat de anatomie is van de huid, in het bijzonder de intramusculaire, subcutane en intracutane huidlaag;</w:t>
            </w:r>
          </w:p>
          <w:p w:rsidR="006431B3" w:rsidRPr="000D3FD7" w:rsidRDefault="006431B3" w:rsidP="006431B3">
            <w:pPr>
              <w:pStyle w:val="Lijstalinea"/>
              <w:numPr>
                <w:ilvl w:val="0"/>
                <w:numId w:val="3"/>
              </w:numPr>
              <w:spacing w:line="276" w:lineRule="auto"/>
              <w:rPr>
                <w:rFonts w:cs="Arial"/>
                <w:b/>
                <w:szCs w:val="20"/>
              </w:rPr>
            </w:pPr>
            <w:r>
              <w:rPr>
                <w:rFonts w:cs="Arial"/>
                <w:szCs w:val="20"/>
              </w:rPr>
              <w:t>te berekenen wat</w:t>
            </w:r>
            <w:r w:rsidRPr="00A002AF">
              <w:rPr>
                <w:rFonts w:cs="Arial"/>
                <w:szCs w:val="20"/>
              </w:rPr>
              <w:t xml:space="preserve"> de juiste hoeveelheid medicatie </w:t>
            </w:r>
            <w:r>
              <w:rPr>
                <w:rFonts w:cs="Arial"/>
                <w:szCs w:val="20"/>
              </w:rPr>
              <w:t xml:space="preserve">is die </w:t>
            </w:r>
            <w:r w:rsidRPr="00A002AF">
              <w:rPr>
                <w:rFonts w:cs="Arial"/>
                <w:szCs w:val="20"/>
              </w:rPr>
              <w:t>je moet toedienen aan de zorgvrager (mg/ml);</w:t>
            </w:r>
          </w:p>
          <w:p w:rsidR="006431B3" w:rsidRPr="00A002AF" w:rsidRDefault="006431B3" w:rsidP="006431B3">
            <w:pPr>
              <w:pStyle w:val="Lijstalinea"/>
              <w:numPr>
                <w:ilvl w:val="0"/>
                <w:numId w:val="3"/>
              </w:numPr>
              <w:spacing w:line="276" w:lineRule="auto"/>
              <w:rPr>
                <w:rFonts w:cs="Arial"/>
                <w:b/>
                <w:szCs w:val="20"/>
              </w:rPr>
            </w:pPr>
            <w:r>
              <w:rPr>
                <w:rFonts w:cs="Arial"/>
                <w:szCs w:val="20"/>
              </w:rPr>
              <w:t xml:space="preserve">te benoemen </w:t>
            </w:r>
            <w:r w:rsidRPr="00A002AF">
              <w:rPr>
                <w:rFonts w:cs="Arial"/>
                <w:szCs w:val="20"/>
              </w:rPr>
              <w:t>welke werkwijze gevolgd dient te worden bij het intramusculair en subcutaan injecteren;</w:t>
            </w:r>
          </w:p>
          <w:p w:rsidR="006431B3" w:rsidRPr="00210DB5" w:rsidRDefault="006431B3" w:rsidP="006431B3">
            <w:pPr>
              <w:pStyle w:val="Lijstalinea"/>
              <w:numPr>
                <w:ilvl w:val="0"/>
                <w:numId w:val="3"/>
              </w:numPr>
              <w:spacing w:line="276" w:lineRule="auto"/>
              <w:rPr>
                <w:rFonts w:cs="Arial"/>
                <w:b/>
                <w:szCs w:val="20"/>
              </w:rPr>
            </w:pPr>
            <w:r>
              <w:rPr>
                <w:rFonts w:cs="Arial"/>
                <w:szCs w:val="20"/>
              </w:rPr>
              <w:t xml:space="preserve">tenminste 4 </w:t>
            </w:r>
            <w:r w:rsidRPr="00210DB5">
              <w:rPr>
                <w:rFonts w:cs="Arial"/>
                <w:szCs w:val="20"/>
              </w:rPr>
              <w:t xml:space="preserve">injectietechnieken </w:t>
            </w:r>
            <w:r>
              <w:rPr>
                <w:rFonts w:cs="Arial"/>
                <w:szCs w:val="20"/>
              </w:rPr>
              <w:t>te benoemen;</w:t>
            </w:r>
          </w:p>
          <w:p w:rsidR="006431B3" w:rsidRPr="00210DB5" w:rsidRDefault="006431B3" w:rsidP="006431B3">
            <w:pPr>
              <w:pStyle w:val="Lijstalinea"/>
              <w:numPr>
                <w:ilvl w:val="0"/>
                <w:numId w:val="3"/>
              </w:numPr>
              <w:spacing w:line="276" w:lineRule="auto"/>
              <w:rPr>
                <w:rFonts w:cs="Arial"/>
                <w:b/>
                <w:szCs w:val="20"/>
              </w:rPr>
            </w:pPr>
            <w:r>
              <w:rPr>
                <w:rFonts w:cs="Arial"/>
                <w:szCs w:val="20"/>
              </w:rPr>
              <w:t xml:space="preserve">te benoemen </w:t>
            </w:r>
            <w:r w:rsidRPr="00210DB5">
              <w:rPr>
                <w:rFonts w:cs="Arial"/>
                <w:szCs w:val="20"/>
              </w:rPr>
              <w:t>welke factoren het injecteren kunnen belemmeren of juist vergemakkelijken;</w:t>
            </w:r>
          </w:p>
          <w:p w:rsidR="006431B3" w:rsidRPr="00210DB5" w:rsidRDefault="006431B3" w:rsidP="006431B3">
            <w:pPr>
              <w:pStyle w:val="Lijstalinea"/>
              <w:numPr>
                <w:ilvl w:val="0"/>
                <w:numId w:val="3"/>
              </w:numPr>
              <w:spacing w:line="276" w:lineRule="auto"/>
              <w:rPr>
                <w:rFonts w:cs="Arial"/>
                <w:b/>
                <w:szCs w:val="20"/>
              </w:rPr>
            </w:pPr>
            <w:r>
              <w:rPr>
                <w:rFonts w:cs="Arial"/>
                <w:szCs w:val="20"/>
              </w:rPr>
              <w:t xml:space="preserve">te benoemen </w:t>
            </w:r>
            <w:r w:rsidRPr="00210DB5">
              <w:rPr>
                <w:rFonts w:cs="Arial"/>
                <w:szCs w:val="20"/>
              </w:rPr>
              <w:t>welke complicaties kunnen optreden bij het toedienen van een injectie en hoe je deze complicaties kunnen voorkomen</w:t>
            </w:r>
          </w:p>
          <w:p w:rsidR="006431B3" w:rsidRPr="00796D1F" w:rsidRDefault="006431B3" w:rsidP="006431B3">
            <w:pPr>
              <w:pStyle w:val="Lijstalinea"/>
              <w:numPr>
                <w:ilvl w:val="0"/>
                <w:numId w:val="3"/>
              </w:numPr>
              <w:spacing w:line="276" w:lineRule="auto"/>
              <w:rPr>
                <w:rFonts w:cs="Arial"/>
                <w:b/>
                <w:szCs w:val="20"/>
              </w:rPr>
            </w:pPr>
            <w:r>
              <w:rPr>
                <w:rFonts w:cs="Arial"/>
                <w:szCs w:val="20"/>
              </w:rPr>
              <w:t xml:space="preserve">te benoemen wat de </w:t>
            </w:r>
            <w:r w:rsidRPr="00210DB5">
              <w:rPr>
                <w:rFonts w:cs="Arial"/>
                <w:szCs w:val="20"/>
              </w:rPr>
              <w:t xml:space="preserve">VTGM </w:t>
            </w:r>
            <w:r>
              <w:rPr>
                <w:rFonts w:cs="Arial"/>
                <w:szCs w:val="20"/>
              </w:rPr>
              <w:t xml:space="preserve">regel is </w:t>
            </w:r>
            <w:r w:rsidRPr="00210DB5">
              <w:rPr>
                <w:rFonts w:cs="Arial"/>
                <w:szCs w:val="20"/>
              </w:rPr>
              <w:t>bij het toedienen/ gereedmaken van injecties</w:t>
            </w:r>
          </w:p>
          <w:p w:rsidR="006431B3" w:rsidRPr="00796D1F" w:rsidRDefault="006431B3" w:rsidP="006431B3">
            <w:pPr>
              <w:pStyle w:val="Lijstalinea"/>
              <w:numPr>
                <w:ilvl w:val="0"/>
                <w:numId w:val="3"/>
              </w:numPr>
              <w:spacing w:line="276" w:lineRule="auto"/>
              <w:rPr>
                <w:rFonts w:cs="Arial"/>
                <w:b/>
                <w:szCs w:val="20"/>
              </w:rPr>
            </w:pPr>
            <w:r w:rsidRPr="00796D1F">
              <w:rPr>
                <w:rFonts w:cs="Arial"/>
                <w:szCs w:val="20"/>
              </w:rPr>
              <w:t xml:space="preserve">bloedsuiker bepaling </w:t>
            </w:r>
            <w:r>
              <w:rPr>
                <w:rFonts w:cs="Arial"/>
                <w:szCs w:val="20"/>
              </w:rPr>
              <w:t xml:space="preserve">uit te voeren </w:t>
            </w:r>
            <w:r w:rsidRPr="00796D1F">
              <w:rPr>
                <w:rFonts w:cs="Arial"/>
                <w:szCs w:val="20"/>
              </w:rPr>
              <w:t xml:space="preserve">en de 2-4-6 regel bij Hypo – en </w:t>
            </w:r>
            <w:proofErr w:type="spellStart"/>
            <w:r w:rsidRPr="00796D1F">
              <w:rPr>
                <w:rFonts w:cs="Arial"/>
                <w:szCs w:val="20"/>
              </w:rPr>
              <w:t>Hyperglycemische</w:t>
            </w:r>
            <w:proofErr w:type="spellEnd"/>
            <w:r w:rsidRPr="00796D1F">
              <w:rPr>
                <w:rFonts w:cs="Arial"/>
                <w:szCs w:val="20"/>
              </w:rPr>
              <w:t xml:space="preserve"> ontregeling</w:t>
            </w:r>
            <w:r>
              <w:rPr>
                <w:rFonts w:cs="Arial"/>
                <w:szCs w:val="20"/>
              </w:rPr>
              <w:t xml:space="preserve"> te benoemen;</w:t>
            </w:r>
          </w:p>
          <w:p w:rsidR="006431B3" w:rsidRPr="00796D1F" w:rsidRDefault="006431B3" w:rsidP="006431B3">
            <w:pPr>
              <w:pStyle w:val="Lijstalinea"/>
              <w:numPr>
                <w:ilvl w:val="0"/>
                <w:numId w:val="3"/>
              </w:numPr>
              <w:spacing w:line="276" w:lineRule="auto"/>
              <w:rPr>
                <w:rFonts w:cs="Arial"/>
                <w:b/>
                <w:szCs w:val="20"/>
              </w:rPr>
            </w:pPr>
            <w:r>
              <w:rPr>
                <w:rFonts w:cs="Arial"/>
                <w:szCs w:val="20"/>
              </w:rPr>
              <w:t xml:space="preserve">te beschrijven </w:t>
            </w:r>
            <w:r w:rsidRPr="00796D1F">
              <w:rPr>
                <w:rFonts w:cs="Arial"/>
                <w:szCs w:val="20"/>
              </w:rPr>
              <w:t>hoe je bloedsuiker bepaalt en insuline toedient volgens protocol (Vilans)</w:t>
            </w:r>
          </w:p>
          <w:p w:rsidR="006431B3" w:rsidRPr="00796D1F" w:rsidRDefault="006431B3" w:rsidP="006431B3">
            <w:pPr>
              <w:pStyle w:val="Lijstalinea"/>
              <w:numPr>
                <w:ilvl w:val="0"/>
                <w:numId w:val="3"/>
              </w:numPr>
              <w:spacing w:line="276" w:lineRule="auto"/>
              <w:rPr>
                <w:rFonts w:cs="Arial"/>
                <w:b/>
                <w:szCs w:val="20"/>
              </w:rPr>
            </w:pPr>
            <w:r w:rsidRPr="00796D1F">
              <w:rPr>
                <w:rFonts w:cs="Arial"/>
                <w:szCs w:val="20"/>
              </w:rPr>
              <w:t xml:space="preserve">in een </w:t>
            </w:r>
            <w:proofErr w:type="spellStart"/>
            <w:r w:rsidRPr="00796D1F">
              <w:rPr>
                <w:rFonts w:cs="Arial"/>
                <w:szCs w:val="20"/>
              </w:rPr>
              <w:t>skillslab</w:t>
            </w:r>
            <w:proofErr w:type="spellEnd"/>
            <w:r w:rsidRPr="00796D1F">
              <w:rPr>
                <w:rFonts w:cs="Arial"/>
                <w:szCs w:val="20"/>
              </w:rPr>
              <w:t xml:space="preserve"> situatie aan te tonen dat zij de handeling injecteren volg</w:t>
            </w:r>
            <w:r>
              <w:rPr>
                <w:rFonts w:cs="Arial"/>
                <w:szCs w:val="20"/>
              </w:rPr>
              <w:t>ens  protocol uit kunnen voeren.</w:t>
            </w:r>
          </w:p>
          <w:p w:rsidR="006431B3" w:rsidRDefault="006431B3" w:rsidP="0090532E">
            <w:pPr>
              <w:spacing w:line="276" w:lineRule="auto"/>
              <w:rPr>
                <w:rFonts w:cs="Arial"/>
                <w:b/>
                <w:szCs w:val="20"/>
              </w:rPr>
            </w:pPr>
          </w:p>
          <w:p w:rsidR="006431B3" w:rsidRPr="002B6157" w:rsidRDefault="006431B3" w:rsidP="0090532E">
            <w:pPr>
              <w:spacing w:line="276" w:lineRule="auto"/>
              <w:rPr>
                <w:rFonts w:cs="Arial"/>
                <w:b/>
                <w:szCs w:val="20"/>
              </w:rPr>
            </w:pPr>
            <w:r w:rsidRPr="002B6157">
              <w:rPr>
                <w:rFonts w:cs="Arial"/>
                <w:b/>
                <w:szCs w:val="20"/>
              </w:rPr>
              <w:t>Verpleegkundigen kunnen aangeven op welke wijze de zorgvrager geïnstrueerd kan worden in het z</w:t>
            </w:r>
            <w:r>
              <w:rPr>
                <w:rFonts w:cs="Arial"/>
                <w:b/>
                <w:szCs w:val="20"/>
              </w:rPr>
              <w:t>ichzelf toedienen van injecties.</w:t>
            </w:r>
          </w:p>
          <w:p w:rsidR="006431B3" w:rsidRPr="007E3F0B" w:rsidRDefault="006431B3" w:rsidP="0090532E">
            <w:pPr>
              <w:spacing w:line="276" w:lineRule="auto"/>
              <w:rPr>
                <w:rFonts w:cs="Arial"/>
                <w:szCs w:val="20"/>
              </w:rPr>
            </w:pPr>
          </w:p>
        </w:tc>
      </w:tr>
    </w:tbl>
    <w:p w:rsidR="00B40935" w:rsidRPr="00080F8E" w:rsidRDefault="00B40935">
      <w:pPr>
        <w:rPr>
          <w:rFonts w:cs="Arial"/>
          <w:szCs w:val="20"/>
        </w:rPr>
      </w:pPr>
      <w:bookmarkStart w:id="0" w:name="_GoBack"/>
      <w:bookmarkEnd w:id="0"/>
    </w:p>
    <w:sectPr w:rsidR="00B40935" w:rsidRPr="00080F8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6BD4"/>
    <w:multiLevelType w:val="hybridMultilevel"/>
    <w:tmpl w:val="708AFF12"/>
    <w:lvl w:ilvl="0" w:tplc="04130001">
      <w:start w:val="1"/>
      <w:numFmt w:val="bullet"/>
      <w:lvlText w:val=""/>
      <w:lvlJc w:val="left"/>
      <w:pPr>
        <w:ind w:left="360" w:hanging="360"/>
      </w:pPr>
      <w:rPr>
        <w:rFonts w:ascii="Symbol" w:hAnsi="Symbol" w:hint="default"/>
      </w:rPr>
    </w:lvl>
    <w:lvl w:ilvl="1" w:tplc="0F023558">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CB45A69"/>
    <w:multiLevelType w:val="hybridMultilevel"/>
    <w:tmpl w:val="110A21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B8F4252"/>
    <w:multiLevelType w:val="hybridMultilevel"/>
    <w:tmpl w:val="61DA635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3"/>
    <w:rsid w:val="00080F8E"/>
    <w:rsid w:val="006431B3"/>
    <w:rsid w:val="00B40935"/>
    <w:rsid w:val="00FA2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31B3"/>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431B3"/>
    <w:pPr>
      <w:autoSpaceDE w:val="0"/>
      <w:autoSpaceDN w:val="0"/>
      <w:adjustRightInd w:val="0"/>
    </w:pPr>
    <w:rPr>
      <w:rFonts w:ascii="Arial" w:hAnsi="Arial" w:cs="Arial"/>
      <w:color w:val="000000"/>
      <w:sz w:val="24"/>
      <w:szCs w:val="24"/>
    </w:rPr>
  </w:style>
  <w:style w:type="paragraph" w:styleId="Lijstalinea">
    <w:name w:val="List Paragraph"/>
    <w:basedOn w:val="Standaard"/>
    <w:uiPriority w:val="99"/>
    <w:qFormat/>
    <w:rsid w:val="006431B3"/>
    <w:pPr>
      <w:ind w:left="720"/>
      <w:contextualSpacing/>
    </w:pPr>
  </w:style>
  <w:style w:type="table" w:styleId="Tabelraster">
    <w:name w:val="Table Grid"/>
    <w:basedOn w:val="Standaardtabel"/>
    <w:uiPriority w:val="59"/>
    <w:rsid w:val="00643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31B3"/>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431B3"/>
    <w:pPr>
      <w:autoSpaceDE w:val="0"/>
      <w:autoSpaceDN w:val="0"/>
      <w:adjustRightInd w:val="0"/>
    </w:pPr>
    <w:rPr>
      <w:rFonts w:ascii="Arial" w:hAnsi="Arial" w:cs="Arial"/>
      <w:color w:val="000000"/>
      <w:sz w:val="24"/>
      <w:szCs w:val="24"/>
    </w:rPr>
  </w:style>
  <w:style w:type="paragraph" w:styleId="Lijstalinea">
    <w:name w:val="List Paragraph"/>
    <w:basedOn w:val="Standaard"/>
    <w:uiPriority w:val="99"/>
    <w:qFormat/>
    <w:rsid w:val="006431B3"/>
    <w:pPr>
      <w:ind w:left="720"/>
      <w:contextualSpacing/>
    </w:pPr>
  </w:style>
  <w:style w:type="table" w:styleId="Tabelraster">
    <w:name w:val="Table Grid"/>
    <w:basedOn w:val="Standaardtabel"/>
    <w:uiPriority w:val="59"/>
    <w:rsid w:val="00643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98914C70.dotm</Template>
  <TotalTime>1</TotalTime>
  <Pages>2</Pages>
  <Words>491</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Thuiszorg Het FrieseLand</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Stork</dc:creator>
  <cp:lastModifiedBy>Adriaan Stork</cp:lastModifiedBy>
  <cp:revision>1</cp:revision>
  <dcterms:created xsi:type="dcterms:W3CDTF">2016-05-12T09:07:00Z</dcterms:created>
  <dcterms:modified xsi:type="dcterms:W3CDTF">2016-05-12T09:08:00Z</dcterms:modified>
</cp:coreProperties>
</file>